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翟明清同志2020年度述职述廉报告</w:t>
      </w:r>
    </w:p>
    <w:p>
      <w:pPr>
        <w:spacing w:line="560" w:lineRule="exact"/>
        <w:ind w:firstLine="640" w:firstLineChars="200"/>
        <w:jc w:val="center"/>
        <w:rPr>
          <w:rFonts w:hint="eastAsia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数学与金融学院院长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党委副书记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，本人坚决贯彻学校党委和行政部署，严格落实“一岗双责”要求，一手抓党风廉政建设，一手抓学院管理。在学院班子大力支持和全体师生员工共同努力下，圆满完成各项工作，现从“德、能、勤、绩、廉”等五个方面将2020年工作总结汇报如下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德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在思想上，政治上和行动上自觉与党中央保持高度一致，落实教育部相关全国高等教育会议精神，不折不扣按照学校党委和行政要求。坚持以落实党风廉政建设责任制为龙头，紧紧抓住关键环节，扎实推进党风廉政建设工作。严格执行院党委会和党政联席会议议事制度，对重要工作部署、重大问题决策坚持会议集体研究。坚持把廉政建设责任制摆上重要议事日程,及时组织学院领导干部和中层管理人员学习贯彻上级会议精神，确保思想认识明确、工作目标清晰、行为规范准确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作风建设实践中，重点从思想作风、工作作风和生活作风抓起。同时把振奋精神、有所作为、争创先进、追求创新作为开展工作必须遵循的基本准则。对下正，不搞亲亲疏疏；对友正，不搞小圈子和小团体主义；对己正，不搞投机取巧和阿谀奉承，始终保持蓬勃朝气、昂扬锐气和浩然正气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能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以一流专业和硕士点创建为引领，认真谋划数学与金融学院学科专业布局，狠抓师德师风建设、应用型学科专业群建设、学科团队建设、高层次人才队伍建设、服务地方能力建设、应用型人才培养等。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在师资队伍建设方面，通过</w:t>
      </w:r>
      <w:r>
        <w:rPr>
          <w:rFonts w:ascii="仿宋_GB2312" w:hAnsi="仿宋_GB2312" w:eastAsia="仿宋_GB2312" w:cs="仿宋_GB2312"/>
          <w:sz w:val="32"/>
          <w:szCs w:val="32"/>
        </w:rPr>
        <w:t>引培并举，打造高层次人才队伍。引进行业骨干1人、博士3人，选派访问学者1人，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Fonts w:ascii="仿宋_GB2312" w:hAnsi="仿宋_GB2312" w:eastAsia="仿宋_GB2312" w:cs="仿宋_GB2312"/>
          <w:sz w:val="32"/>
          <w:szCs w:val="32"/>
        </w:rPr>
        <w:t>博士化工程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选送攻读博士</w:t>
      </w:r>
      <w:r>
        <w:rPr>
          <w:rFonts w:ascii="仿宋_GB2312" w:hAnsi="仿宋_GB2312" w:eastAsia="仿宋_GB2312" w:cs="仿宋_GB2312"/>
          <w:sz w:val="32"/>
          <w:szCs w:val="32"/>
        </w:rPr>
        <w:t>2人，目前博士（含在读）教师比例近40%。感情留人，事业举人，稳定高层次人才队伍。通过博士论坛、外出慰问等多渠道关心关注在读博士工作学习状态达10余人次，学院系、所、支部负责人由7名博士担任，充分发挥博士在党建教学科研一线的冲锋作用，全年获教学名师等省级称号4人。双导师制，护航青年教师成长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学院为青年教师安排教学、科研双导师，一批指导青年教师在职业生涯初期，迅速进入角色，承担教学、科研、学生指导工作，取得优异的成果。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在学科建设方面，</w:t>
      </w:r>
      <w:r>
        <w:rPr>
          <w:rFonts w:ascii="仿宋_GB2312" w:hAnsi="仿宋_GB2312" w:eastAsia="仿宋_GB2312" w:cs="仿宋_GB2312"/>
          <w:sz w:val="32"/>
          <w:szCs w:val="32"/>
        </w:rPr>
        <w:t>依托应用数学</w:t>
      </w:r>
      <w:r>
        <w:rPr>
          <w:rFonts w:hint="eastAsia" w:ascii="仿宋_GB2312" w:hAnsi="仿宋_GB2312" w:eastAsia="仿宋_GB2312" w:cs="仿宋_GB2312"/>
          <w:sz w:val="32"/>
          <w:szCs w:val="32"/>
        </w:rPr>
        <w:t>和应用经济学两个</w:t>
      </w:r>
      <w:r>
        <w:rPr>
          <w:rFonts w:ascii="仿宋_GB2312" w:hAnsi="仿宋_GB2312" w:eastAsia="仿宋_GB2312" w:cs="仿宋_GB2312"/>
          <w:sz w:val="32"/>
          <w:szCs w:val="32"/>
        </w:rPr>
        <w:t>校级重点学科平台，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下大力气抓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科研团队建设，为培育硕士点夯实基础。应用数学学科方面，重点打造</w:t>
      </w:r>
      <w:r>
        <w:rPr>
          <w:rFonts w:ascii="仿宋_GB2312" w:hAnsi="仿宋_GB2312" w:eastAsia="仿宋_GB2312" w:cs="仿宋_GB2312"/>
          <w:sz w:val="32"/>
          <w:szCs w:val="32"/>
        </w:rPr>
        <w:t>微分方程</w:t>
      </w:r>
      <w:r>
        <w:rPr>
          <w:rFonts w:hint="eastAsia" w:ascii="仿宋_GB2312" w:hAnsi="仿宋_GB2312" w:eastAsia="仿宋_GB2312" w:cs="仿宋_GB2312"/>
          <w:sz w:val="32"/>
          <w:szCs w:val="32"/>
        </w:rPr>
        <w:t>和图论及应用</w:t>
      </w:r>
      <w:r>
        <w:rPr>
          <w:rFonts w:ascii="仿宋_GB2312" w:hAnsi="仿宋_GB2312" w:eastAsia="仿宋_GB2312" w:cs="仿宋_GB2312"/>
          <w:sz w:val="32"/>
          <w:szCs w:val="32"/>
        </w:rPr>
        <w:t>两个学科团队，承办2020孤立子与可积系统学术研讨会，加强学术交流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彰显学术影响力，</w:t>
      </w:r>
      <w:r>
        <w:rPr>
          <w:rFonts w:hint="eastAsia" w:ascii="仿宋_GB2312" w:hAnsi="仿宋_GB2312" w:eastAsia="仿宋_GB2312" w:cs="仿宋_GB2312"/>
          <w:sz w:val="32"/>
          <w:szCs w:val="32"/>
        </w:rPr>
        <w:t>培育能量冲击国家级项目。在</w:t>
      </w:r>
      <w:r>
        <w:rPr>
          <w:rFonts w:ascii="仿宋_GB2312" w:hAnsi="仿宋_GB2312" w:eastAsia="仿宋_GB2312" w:cs="仿宋_GB2312"/>
          <w:sz w:val="32"/>
          <w:szCs w:val="32"/>
        </w:rPr>
        <w:t>应用经济学学科</w:t>
      </w:r>
      <w:r>
        <w:rPr>
          <w:rFonts w:hint="eastAsia" w:ascii="仿宋_GB2312" w:hAnsi="仿宋_GB2312" w:eastAsia="仿宋_GB2312" w:cs="仿宋_GB2312"/>
          <w:sz w:val="32"/>
          <w:szCs w:val="32"/>
        </w:rPr>
        <w:t>方面</w:t>
      </w:r>
      <w:r>
        <w:rPr>
          <w:rFonts w:ascii="仿宋_GB2312" w:hAnsi="仿宋_GB2312" w:eastAsia="仿宋_GB2312" w:cs="仿宋_GB2312"/>
          <w:sz w:val="32"/>
          <w:szCs w:val="32"/>
        </w:rPr>
        <w:t>，做强金融数学与社会经济统计两个学科团队，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为培育应用经济学硕士点夯实基础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全年学院获批省部级科研项目5项，发表一类论文30篇、二类论文</w:t>
      </w: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篇。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勤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2020年，本人一边外出访学，一边承担学院管理工作。访学期间，每天工作和学习10个小时，参加讨论班30余次，外出参加学术会议并作学术报告2次，举办学术论坛1次，邀请专家学术报告10人次，撰写学术论文近10篇。通过访学，加强了学术交流，提升了科研能力，了解了国际国内研究热点，为今后的科研找准了方向。在外访学期间，还在线上与学院团队教师开展线上讨论班，保持学院团队的科研氛围和科研产出。在外访学期间，在学院班子成员的共同努力下，学院的日常管理工作和一些专项工作仍有条不紊的运行。院内党委会、党政联席会议和其他一些专题会议正常举行，高层次人才工作、校企合作、学科建设、校庆工作等稳步运行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绩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务实干事创业，做学院发展的铺路石。成绩是班子集体和全体师生共同努力的结果。专业建设方面，学院金融工程专业，作为一个刚满三届毕业生的新专业，获批省级一流专业建设点。在顶层设计上，学院坚持以一流专业创建为引领，优化专业布局，深化教学改革，打造特色金课，凸显办学特色，全面提高人才培养质量。学院已形成以数学和经济学为基础，以大数据技术为手段，以金融和社会经济为应用领域的学科专业布局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ascii="仿宋_GB2312" w:hAnsi="仿宋_GB2312" w:eastAsia="仿宋_GB2312" w:cs="仿宋_GB2312"/>
          <w:sz w:val="32"/>
          <w:szCs w:val="32"/>
        </w:rPr>
        <w:t>深化服务地方</w:t>
      </w:r>
      <w:r>
        <w:rPr>
          <w:rFonts w:hint="eastAsia" w:ascii="仿宋_GB2312" w:hAnsi="仿宋_GB2312" w:eastAsia="仿宋_GB2312" w:cs="仿宋_GB2312"/>
          <w:sz w:val="32"/>
          <w:szCs w:val="32"/>
        </w:rPr>
        <w:t>方面，</w:t>
      </w:r>
      <w:r>
        <w:rPr>
          <w:rFonts w:ascii="仿宋_GB2312" w:hAnsi="仿宋_GB2312" w:eastAsia="仿宋_GB2312" w:cs="仿宋_GB2312"/>
          <w:sz w:val="32"/>
          <w:szCs w:val="32"/>
        </w:rPr>
        <w:t>主动对接滁州地方经济社会发展需求，发挥自身优势，巩固学院与市统计局、经典调查公司等政府企业之间的联系，聚焦重点项目推进双方合作向纵深发展，提升校地合作的质量和层次</w:t>
      </w:r>
      <w:r>
        <w:rPr>
          <w:rFonts w:hint="eastAsia" w:ascii="仿宋_GB2312" w:hAnsi="仿宋_GB2312" w:eastAsia="仿宋_GB2312" w:cs="仿宋_GB2312"/>
          <w:sz w:val="32"/>
          <w:szCs w:val="32"/>
        </w:rPr>
        <w:t>，夯实产学研基地建设</w:t>
      </w:r>
      <w:r>
        <w:rPr>
          <w:rFonts w:ascii="仿宋_GB2312" w:hAnsi="仿宋_GB2312" w:eastAsia="仿宋_GB2312" w:cs="仿宋_GB2312"/>
          <w:sz w:val="32"/>
          <w:szCs w:val="32"/>
        </w:rPr>
        <w:t>。同时，拓展服务社会领域，创新“政、产、学、研、用”合作机制，以服务求支持，以贡献求支撑，与来安县发改委、南谯区民政局、珠龙镇政府开展产学研合作，拓展校地合作的内涵和领域。2020年，学院获批横向课题16项，总经费5</w:t>
      </w:r>
      <w:r>
        <w:rPr>
          <w:rFonts w:hint="eastAsia" w:ascii="仿宋_GB2312" w:hAnsi="仿宋_GB2312" w:eastAsia="仿宋_GB2312" w:cs="仿宋_GB2312"/>
          <w:sz w:val="32"/>
          <w:szCs w:val="32"/>
        </w:rPr>
        <w:t>0余</w:t>
      </w:r>
      <w:r>
        <w:rPr>
          <w:rFonts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在纪律建设实践中，本人时刻谨记各项政治纪律并严格落实。一是加强学习，严格落实教师职业道德规范。二是规范财务审批流程，严格落实院行政经费等经费审批程序，认真执行相关规定，做到规范有序，有章可循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监督检查实践中，坚持检查督促常常新、日日新，严格落实党风廉政建设责任制，注重发挥中层领导干部在廉洁从政工作中的表率作用。在风险防控实践中，认真学习党纪法规、监督条例、观看反腐倡廉教育片等，自觉加强党性修养和作风养成，经常对照检查，正确行使权力，加强自我约束，做到令行禁止。在廉洁自律实践中，带头艰苦奋斗，勤俭节约，自觉接受监督，全心全意为师生服务，尽职尽责为师生家长办实事。在公务活动和社交活动中严格遵守廉洁自律的各项规定。同时，加强对自己配偶、子女及身边工作人员的教育和管理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38D"/>
    <w:rsid w:val="00105A6F"/>
    <w:rsid w:val="004C3D06"/>
    <w:rsid w:val="004F69E8"/>
    <w:rsid w:val="0050538D"/>
    <w:rsid w:val="00637625"/>
    <w:rsid w:val="00897BB1"/>
    <w:rsid w:val="0097220A"/>
    <w:rsid w:val="00CF7EC2"/>
    <w:rsid w:val="00E46C0F"/>
    <w:rsid w:val="3E72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4</Pages>
  <Words>316</Words>
  <Characters>1807</Characters>
  <Lines>15</Lines>
  <Paragraphs>4</Paragraphs>
  <TotalTime>0</TotalTime>
  <ScaleCrop>false</ScaleCrop>
  <LinksUpToDate>false</LinksUpToDate>
  <CharactersWithSpaces>2119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2021-03-04T12:28:00Z</dcterms:created>
  <dc:creator>Administrator</dc:creator>
  <cp:lastModifiedBy>王海波</cp:lastModifiedBy>
  <dcterms:modified xsi:type="dcterms:W3CDTF">2021-03-06T05:46:48Z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